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14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-221615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1"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6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-602615</wp:posOffset>
            </wp:positionV>
            <wp:extent cx="57150"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950"/>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-602615</wp:posOffset>
            </wp:positionV>
            <wp:extent cx="57150" cy="615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595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639445</wp:posOffset>
            </wp:positionV>
            <wp:extent cx="7049135" cy="6329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6329680"/>
                    </a:xfrm>
                    <a:prstGeom prst="rect">
                      <a:avLst/>
                    </a:prstGeom>
                    <a:noFill/>
                  </pic:spPr>
                </pic:pic>
              </a:graphicData>
            </a:graphic>
          </wp:anchor>
        </w:drawing>
      </w:r>
    </w:p>
    <w:p>
      <w:pPr>
        <w:spacing w:after="0" w:line="1020" w:lineRule="exact"/>
        <w:rPr>
          <w:sz w:val="24"/>
          <w:szCs w:val="24"/>
          <w:color w:val="auto"/>
        </w:rPr>
      </w:pPr>
    </w:p>
    <w:p>
      <w:pPr>
        <w:sectPr>
          <w:pgSz w:w="11900" w:h="16838" w:orient="portrait"/>
          <w:cols w:equalWidth="0" w:num="2">
            <w:col w:w="2300" w:space="400"/>
            <w:col w:w="8380"/>
          </w:cols>
          <w:pgMar w:left="460" w:top="213" w:right="359" w:bottom="887"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gridSpan w:val="10"/>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Hsu Michael D.</w:t>
              </w:r>
            </w:hyperlink>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60" w:type="dxa"/>
            <w:vAlign w:val="bottom"/>
            <w:gridSpan w:val="10"/>
          </w:tcPr>
          <w:p>
            <w:pPr>
              <w:ind w:left="60"/>
              <w:spacing w:after="0" w:line="174" w:lineRule="exact"/>
              <w:rPr>
                <w:rFonts w:ascii="Times New Roman" w:cs="Times New Roman" w:eastAsia="Times New Roman" w:hAnsi="Times New Roman"/>
                <w:sz w:val="20"/>
                <w:szCs w:val="20"/>
                <w:color w:val="0000EE"/>
                <w:w w:val="99"/>
              </w:rPr>
            </w:pPr>
            <w:hyperlink r:id="rId14">
              <w:r>
                <w:rPr>
                  <w:rFonts w:ascii="Times New Roman" w:cs="Times New Roman" w:eastAsia="Times New Roman" w:hAnsi="Times New Roman"/>
                  <w:sz w:val="20"/>
                  <w:szCs w:val="20"/>
                  <w:color w:val="0000EE"/>
                  <w:w w:val="99"/>
                </w:rPr>
                <w:t xml:space="preserve">KIMBERLY CLARK CORP </w:t>
              </w:r>
            </w:hyperlink>
            <w:r>
              <w:rPr>
                <w:rFonts w:ascii="Times New Roman" w:cs="Times New Roman" w:eastAsia="Times New Roman" w:hAnsi="Times New Roman"/>
                <w:sz w:val="20"/>
                <w:szCs w:val="20"/>
                <w:color w:val="000000"/>
                <w:w w:val="99"/>
              </w:rPr>
              <w:t>[</w:t>
            </w:r>
            <w:r>
              <w:rPr>
                <w:rFonts w:ascii="Times New Roman" w:cs="Times New Roman" w:eastAsia="Times New Roman" w:hAnsi="Times New Roman"/>
                <w:sz w:val="20"/>
                <w:szCs w:val="20"/>
                <w:color w:val="0000EE"/>
                <w:w w:val="99"/>
              </w:rPr>
              <w:t xml:space="preserve"> </w:t>
            </w:r>
            <w:r>
              <w:rPr>
                <w:rFonts w:ascii="Times New Roman" w:cs="Times New Roman" w:eastAsia="Times New Roman" w:hAnsi="Times New Roman"/>
                <w:sz w:val="16"/>
                <w:szCs w:val="16"/>
                <w:color w:val="0000FF"/>
                <w:w w:val="99"/>
              </w:rPr>
              <w:t>KMB</w:t>
            </w:r>
            <w:r>
              <w:rPr>
                <w:rFonts w:ascii="Times New Roman" w:cs="Times New Roman" w:eastAsia="Times New Roman" w:hAnsi="Times New Roman"/>
                <w:sz w:val="20"/>
                <w:szCs w:val="20"/>
                <w:color w:val="0000EE"/>
                <w:w w:val="99"/>
              </w:rPr>
              <w:t xml:space="preserve"> </w:t>
            </w:r>
            <w:r>
              <w:rPr>
                <w:rFonts w:ascii="Times New Roman" w:cs="Times New Roman" w:eastAsia="Times New Roman" w:hAnsi="Times New Roman"/>
                <w:sz w:val="20"/>
                <w:szCs w:val="20"/>
                <w:color w:val="000000"/>
                <w:w w:val="99"/>
              </w:rPr>
              <w:t>]</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9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7"/>
                <w:szCs w:val="7"/>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720" w:type="dxa"/>
            <w:vAlign w:val="bottom"/>
            <w:gridSpan w:val="3"/>
            <w:vMerge w:val="restart"/>
          </w:tcPr>
          <w:p>
            <w:pPr>
              <w:ind w:left="520"/>
              <w:spacing w:after="0"/>
              <w:rPr>
                <w:sz w:val="20"/>
                <w:szCs w:val="20"/>
                <w:color w:val="auto"/>
              </w:rPr>
            </w:pPr>
            <w:r>
              <w:rPr>
                <w:rFonts w:ascii="Arial" w:cs="Arial" w:eastAsia="Arial" w:hAnsi="Arial"/>
                <w:sz w:val="12"/>
                <w:szCs w:val="12"/>
                <w:color w:val="auto"/>
              </w:rPr>
              <w:t>(First)</w:t>
            </w:r>
          </w:p>
        </w:tc>
        <w:tc>
          <w:tcPr>
            <w:tcW w:w="1100" w:type="dxa"/>
            <w:vAlign w:val="bottom"/>
            <w:vMerge w:val="restart"/>
          </w:tcPr>
          <w:p>
            <w:pPr>
              <w:ind w:left="20"/>
              <w:spacing w:after="0"/>
              <w:rPr>
                <w:sz w:val="20"/>
                <w:szCs w:val="20"/>
                <w:color w:val="auto"/>
              </w:rPr>
            </w:pPr>
            <w:r>
              <w:rPr>
                <w:rFonts w:ascii="Arial" w:cs="Arial" w:eastAsia="Arial" w:hAnsi="Arial"/>
                <w:sz w:val="12"/>
                <w:szCs w:val="12"/>
                <w:color w:val="auto"/>
              </w:rPr>
              <w:t>(Middle)</w:t>
            </w: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10"/>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60" w:type="dxa"/>
            <w:vAlign w:val="bottom"/>
            <w:gridSpan w:val="10"/>
            <w:vMerge w:val="continue"/>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2940" w:type="dxa"/>
            <w:vAlign w:val="bottom"/>
            <w:gridSpan w:val="7"/>
            <w:vMerge w:val="restart"/>
          </w:tcPr>
          <w:p>
            <w:pPr>
              <w:ind w:left="120"/>
              <w:spacing w:after="0"/>
              <w:rPr>
                <w:sz w:val="20"/>
                <w:szCs w:val="20"/>
                <w:color w:val="auto"/>
              </w:rPr>
            </w:pPr>
            <w:r>
              <w:rPr>
                <w:rFonts w:ascii="Times New Roman" w:cs="Times New Roman" w:eastAsia="Times New Roman" w:hAnsi="Times New Roman"/>
                <w:sz w:val="16"/>
                <w:szCs w:val="16"/>
                <w:color w:val="0000FF"/>
              </w:rPr>
              <w:t>Chairman of the Board and CEO</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P.O. BOX 619100</w:t>
            </w:r>
          </w:p>
        </w:tc>
        <w:tc>
          <w:tcPr>
            <w:tcW w:w="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00" w:type="dxa"/>
            <w:vAlign w:val="bottom"/>
            <w:gridSpan w:val="6"/>
          </w:tcPr>
          <w:p>
            <w:pPr>
              <w:ind w:left="260"/>
              <w:spacing w:after="0"/>
              <w:rPr>
                <w:sz w:val="20"/>
                <w:szCs w:val="20"/>
                <w:color w:val="auto"/>
              </w:rPr>
            </w:pPr>
            <w:r>
              <w:rPr>
                <w:rFonts w:ascii="Times New Roman" w:cs="Times New Roman" w:eastAsia="Times New Roman" w:hAnsi="Times New Roman"/>
                <w:sz w:val="16"/>
                <w:szCs w:val="16"/>
                <w:color w:val="0000FF"/>
              </w:rPr>
              <w:t>05/01/2026</w:t>
            </w: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7"/>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11"/>
            <w:vMerge w:val="restart"/>
          </w:tcPr>
          <w:p>
            <w:pPr>
              <w:jc w:val="center"/>
              <w:ind w:right="237"/>
              <w:spacing w:after="0"/>
              <w:rPr>
                <w:sz w:val="20"/>
                <w:szCs w:val="20"/>
                <w:color w:val="auto"/>
              </w:rPr>
            </w:pPr>
            <w:r>
              <w:rPr>
                <w:rFonts w:ascii="Arial" w:cs="Arial" w:eastAsia="Arial" w:hAnsi="Arial"/>
                <w:sz w:val="12"/>
                <w:szCs w:val="12"/>
                <w:color w:val="auto"/>
              </w:rPr>
              <w:t>4. If Amendment, Date of Original Filed (Month/Day/Year)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DALLAS</w:t>
            </w:r>
          </w:p>
        </w:tc>
        <w:tc>
          <w:tcPr>
            <w:tcW w:w="7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0000FF"/>
              </w:rPr>
              <w:t>TX</w:t>
            </w:r>
          </w:p>
        </w:tc>
        <w:tc>
          <w:tcPr>
            <w:tcW w:w="960" w:type="dxa"/>
            <w:vAlign w:val="bottom"/>
          </w:tcPr>
          <w:p>
            <w:pPr>
              <w:spacing w:after="0"/>
              <w:rPr>
                <w:sz w:val="6"/>
                <w:szCs w:val="6"/>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75261-9100</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560" w:type="dxa"/>
            <w:vAlign w:val="bottom"/>
            <w:gridSpan w:val="11"/>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gridSpan w:val="4"/>
            <w:vMerge w:val="restart"/>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12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1720" w:type="dxa"/>
            <w:vAlign w:val="bottom"/>
            <w:gridSpan w:val="3"/>
            <w:vMerge w:val="restart"/>
          </w:tcPr>
          <w:p>
            <w:pPr>
              <w:ind w:left="520"/>
              <w:spacing w:after="0"/>
              <w:rPr>
                <w:sz w:val="20"/>
                <w:szCs w:val="20"/>
                <w:color w:val="auto"/>
              </w:rPr>
            </w:pPr>
            <w:r>
              <w:rPr>
                <w:rFonts w:ascii="Arial" w:cs="Arial" w:eastAsia="Arial" w:hAnsi="Arial"/>
                <w:sz w:val="12"/>
                <w:szCs w:val="12"/>
                <w:color w:val="auto"/>
              </w:rPr>
              <w:t>(State)</w:t>
            </w:r>
          </w:p>
        </w:tc>
        <w:tc>
          <w:tcPr>
            <w:tcW w:w="1100" w:type="dxa"/>
            <w:vAlign w:val="bottom"/>
            <w:vMerge w:val="restart"/>
          </w:tcPr>
          <w:p>
            <w:pPr>
              <w:ind w:left="2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720" w:type="dxa"/>
            <w:vAlign w:val="bottom"/>
            <w:gridSpan w:val="3"/>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gridSpan w:val="4"/>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20"/>
          </w:tcPr>
          <w:p>
            <w:pPr>
              <w:jc w:val="center"/>
              <w:ind w:left="51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00" w:type="dxa"/>
            <w:vAlign w:val="bottom"/>
            <w:gridSpan w:val="5"/>
          </w:tcPr>
          <w:p>
            <w:pPr>
              <w:ind w:left="72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w w:val="98"/>
              </w:rPr>
              <w:t>2A. Deemed</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4"/>
                <w:szCs w:val="14"/>
                <w:color w:val="auto"/>
              </w:rPr>
            </w:pPr>
          </w:p>
        </w:tc>
        <w:tc>
          <w:tcPr>
            <w:tcW w:w="2100" w:type="dxa"/>
            <w:vAlign w:val="bottom"/>
            <w:gridSpan w:val="7"/>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ind w:left="720"/>
              <w:spacing w:after="0" w:line="124"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2100" w:type="dxa"/>
            <w:vAlign w:val="bottom"/>
            <w:gridSpan w:val="7"/>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00" w:type="dxa"/>
            <w:vAlign w:val="bottom"/>
            <w:gridSpan w:val="5"/>
          </w:tcPr>
          <w:p>
            <w:pPr>
              <w:jc w:val="center"/>
              <w:ind w:left="593"/>
              <w:spacing w:after="0" w:line="124" w:lineRule="exact"/>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3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vMerge w:val="restart"/>
          </w:tcPr>
          <w:p>
            <w:pPr>
              <w:jc w:val="center"/>
              <w:ind w:right="4"/>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jc w:val="right"/>
              <w:ind w:right="147"/>
              <w:spacing w:after="0"/>
              <w:rPr>
                <w:sz w:val="20"/>
                <w:szCs w:val="20"/>
                <w:color w:val="auto"/>
              </w:rPr>
            </w:pPr>
            <w:r>
              <w:rPr>
                <w:rFonts w:ascii="Arial" w:cs="Arial" w:eastAsia="Arial" w:hAnsi="Arial"/>
                <w:sz w:val="11"/>
                <w:szCs w:val="11"/>
                <w:b w:val="1"/>
                <w:bCs w:val="1"/>
                <w:color w:val="auto"/>
              </w:rPr>
              <w:t>V</w:t>
            </w:r>
          </w:p>
        </w:tc>
        <w:tc>
          <w:tcPr>
            <w:tcW w:w="8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4"/>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5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5"/>
          </w:tcPr>
          <w:p>
            <w:pPr>
              <w:jc w:val="center"/>
              <w:ind w:left="593"/>
              <w:spacing w:after="0"/>
              <w:rPr>
                <w:sz w:val="20"/>
                <w:szCs w:val="20"/>
                <w:color w:val="auto"/>
              </w:rPr>
            </w:pPr>
            <w:r>
              <w:rPr>
                <w:rFonts w:ascii="Times New Roman" w:cs="Times New Roman" w:eastAsia="Times New Roman" w:hAnsi="Times New Roman"/>
                <w:sz w:val="16"/>
                <w:szCs w:val="16"/>
                <w:color w:val="0000FF"/>
                <w:w w:val="98"/>
              </w:rPr>
              <w:t>05/01/2026</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M</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124"/>
              <w:spacing w:after="0"/>
              <w:rPr>
                <w:sz w:val="20"/>
                <w:szCs w:val="20"/>
                <w:color w:val="auto"/>
              </w:rPr>
            </w:pPr>
            <w:r>
              <w:rPr>
                <w:rFonts w:ascii="Times New Roman" w:cs="Times New Roman" w:eastAsia="Times New Roman" w:hAnsi="Times New Roman"/>
                <w:sz w:val="16"/>
                <w:szCs w:val="16"/>
                <w:color w:val="0000FF"/>
              </w:rPr>
              <w:t>11,122</w:t>
            </w:r>
            <w:r>
              <w:rPr>
                <w:rFonts w:ascii="Times New Roman" w:cs="Times New Roman" w:eastAsia="Times New Roman" w:hAnsi="Times New Roman"/>
                <w:sz w:val="20"/>
                <w:szCs w:val="20"/>
                <w:color w:val="008000"/>
                <w:vertAlign w:val="superscript"/>
              </w:rPr>
              <w:t>(1)</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0.0000</w:t>
            </w:r>
            <w:r>
              <w:rPr>
                <w:rFonts w:ascii="Times New Roman" w:cs="Times New Roman" w:eastAsia="Times New Roman" w:hAnsi="Times New Roman"/>
                <w:sz w:val="20"/>
                <w:szCs w:val="20"/>
                <w:color w:val="008000"/>
                <w:w w:val="96"/>
                <w:vertAlign w:val="superscript"/>
              </w:rPr>
              <w:t>(2)</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330,831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5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5"/>
          </w:tcPr>
          <w:p>
            <w:pPr>
              <w:jc w:val="center"/>
              <w:ind w:left="593"/>
              <w:spacing w:after="0"/>
              <w:rPr>
                <w:sz w:val="20"/>
                <w:szCs w:val="20"/>
                <w:color w:val="auto"/>
              </w:rPr>
            </w:pPr>
            <w:r>
              <w:rPr>
                <w:rFonts w:ascii="Times New Roman" w:cs="Times New Roman" w:eastAsia="Times New Roman" w:hAnsi="Times New Roman"/>
                <w:sz w:val="16"/>
                <w:szCs w:val="16"/>
                <w:color w:val="0000FF"/>
                <w:w w:val="98"/>
              </w:rPr>
              <w:t>05/01/2026</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M</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104"/>
              <w:spacing w:after="0"/>
              <w:rPr>
                <w:sz w:val="20"/>
                <w:szCs w:val="20"/>
                <w:color w:val="auto"/>
              </w:rPr>
            </w:pPr>
            <w:r>
              <w:rPr>
                <w:rFonts w:ascii="Times New Roman" w:cs="Times New Roman" w:eastAsia="Times New Roman" w:hAnsi="Times New Roman"/>
                <w:sz w:val="16"/>
                <w:szCs w:val="16"/>
                <w:color w:val="0000FF"/>
              </w:rPr>
              <w:t>10,490</w:t>
            </w:r>
            <w:r>
              <w:rPr>
                <w:rFonts w:ascii="Times New Roman" w:cs="Times New Roman" w:eastAsia="Times New Roman" w:hAnsi="Times New Roman"/>
                <w:sz w:val="20"/>
                <w:szCs w:val="20"/>
                <w:color w:val="008000"/>
                <w:vertAlign w:val="superscript"/>
              </w:rPr>
              <w:t>(1)</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0.0000</w:t>
            </w:r>
            <w:r>
              <w:rPr>
                <w:rFonts w:ascii="Times New Roman" w:cs="Times New Roman" w:eastAsia="Times New Roman" w:hAnsi="Times New Roman"/>
                <w:sz w:val="20"/>
                <w:szCs w:val="20"/>
                <w:color w:val="008000"/>
                <w:w w:val="96"/>
                <w:vertAlign w:val="superscript"/>
              </w:rPr>
              <w:t>(2)</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341,321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5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5"/>
          </w:tcPr>
          <w:p>
            <w:pPr>
              <w:jc w:val="center"/>
              <w:ind w:left="593"/>
              <w:spacing w:after="0"/>
              <w:rPr>
                <w:sz w:val="20"/>
                <w:szCs w:val="20"/>
                <w:color w:val="auto"/>
              </w:rPr>
            </w:pPr>
            <w:r>
              <w:rPr>
                <w:rFonts w:ascii="Times New Roman" w:cs="Times New Roman" w:eastAsia="Times New Roman" w:hAnsi="Times New Roman"/>
                <w:sz w:val="16"/>
                <w:szCs w:val="16"/>
                <w:color w:val="0000FF"/>
                <w:w w:val="98"/>
              </w:rPr>
              <w:t>05/01/2026</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97"/>
                <w:vertAlign w:val="subscript"/>
              </w:rPr>
              <w:t>F</w:t>
            </w:r>
            <w:r>
              <w:rPr>
                <w:rFonts w:ascii="Times New Roman" w:cs="Times New Roman" w:eastAsia="Times New Roman" w:hAnsi="Times New Roman"/>
                <w:sz w:val="10"/>
                <w:szCs w:val="10"/>
                <w:color w:val="008000"/>
                <w:w w:val="97"/>
              </w:rPr>
              <w:t>(3)</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204"/>
              <w:spacing w:after="0"/>
              <w:rPr>
                <w:sz w:val="20"/>
                <w:szCs w:val="20"/>
                <w:color w:val="auto"/>
              </w:rPr>
            </w:pPr>
            <w:r>
              <w:rPr>
                <w:rFonts w:ascii="Times New Roman" w:cs="Times New Roman" w:eastAsia="Times New Roman" w:hAnsi="Times New Roman"/>
                <w:sz w:val="16"/>
                <w:szCs w:val="16"/>
                <w:color w:val="0000FF"/>
              </w:rPr>
              <w:t>4,128</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center"/>
              <w:ind w:right="3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97.67</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337,193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5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5"/>
          </w:tcPr>
          <w:p>
            <w:pPr>
              <w:jc w:val="center"/>
              <w:ind w:left="593"/>
              <w:spacing w:after="0"/>
              <w:rPr>
                <w:sz w:val="20"/>
                <w:szCs w:val="20"/>
                <w:color w:val="auto"/>
              </w:rPr>
            </w:pPr>
            <w:r>
              <w:rPr>
                <w:rFonts w:ascii="Times New Roman" w:cs="Times New Roman" w:eastAsia="Times New Roman" w:hAnsi="Times New Roman"/>
                <w:sz w:val="16"/>
                <w:szCs w:val="16"/>
                <w:color w:val="0000FF"/>
                <w:w w:val="98"/>
              </w:rPr>
              <w:t>05/01/2026</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4"/>
                <w:szCs w:val="24"/>
                <w:color w:val="0000FF"/>
                <w:w w:val="97"/>
                <w:vertAlign w:val="subscript"/>
              </w:rPr>
              <w:t>F</w:t>
            </w:r>
            <w:r>
              <w:rPr>
                <w:rFonts w:ascii="Times New Roman" w:cs="Times New Roman" w:eastAsia="Times New Roman" w:hAnsi="Times New Roman"/>
                <w:sz w:val="10"/>
                <w:szCs w:val="10"/>
                <w:color w:val="008000"/>
                <w:w w:val="97"/>
              </w:rPr>
              <w:t>(3)</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204"/>
              <w:spacing w:after="0"/>
              <w:rPr>
                <w:sz w:val="20"/>
                <w:szCs w:val="20"/>
                <w:color w:val="auto"/>
              </w:rPr>
            </w:pPr>
            <w:r>
              <w:rPr>
                <w:rFonts w:ascii="Times New Roman" w:cs="Times New Roman" w:eastAsia="Times New Roman" w:hAnsi="Times New Roman"/>
                <w:sz w:val="16"/>
                <w:szCs w:val="16"/>
                <w:color w:val="0000FF"/>
              </w:rPr>
              <w:t>4,377</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center"/>
              <w:ind w:right="3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97.67</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332,816</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21,991</w:t>
            </w:r>
          </w:p>
        </w:tc>
        <w:tc>
          <w:tcPr>
            <w:tcW w:w="300" w:type="dxa"/>
            <w:vAlign w:val="bottom"/>
          </w:tcPr>
          <w:p>
            <w:pPr>
              <w:spacing w:after="0"/>
              <w:rPr>
                <w:sz w:val="21"/>
                <w:szCs w:val="21"/>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By Trust</w:t>
            </w: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4"/>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gridSpan w:val="4"/>
          </w:tcPr>
          <w:p>
            <w:pPr>
              <w:spacing w:after="0"/>
              <w:rPr>
                <w:sz w:val="8"/>
                <w:szCs w:val="8"/>
                <w:color w:val="auto"/>
              </w:rPr>
            </w:pPr>
          </w:p>
        </w:tc>
        <w:tc>
          <w:tcPr>
            <w:tcW w:w="1900" w:type="dxa"/>
            <w:vAlign w:val="bottom"/>
            <w:tcBorders>
              <w:bottom w:val="single" w:sz="8" w:color="2C2C2C"/>
            </w:tcBorders>
            <w:gridSpan w:val="5"/>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9"/>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0" w:type="dxa"/>
            <w:vAlign w:val="bottom"/>
            <w:gridSpan w:val="18"/>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0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80" w:type="dxa"/>
            <w:vAlign w:val="bottom"/>
            <w:gridSpan w:val="4"/>
          </w:tcPr>
          <w:p>
            <w:pPr>
              <w:ind w:left="24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5"/>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2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580" w:type="dxa"/>
            <w:vAlign w:val="bottom"/>
            <w:gridSpan w:val="4"/>
          </w:tcPr>
          <w:p>
            <w:pPr>
              <w:ind w:left="240"/>
              <w:spacing w:after="0" w:line="124"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9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2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1580" w:type="dxa"/>
            <w:vAlign w:val="bottom"/>
            <w:gridSpan w:val="4"/>
          </w:tcPr>
          <w:p>
            <w:pPr>
              <w:ind w:left="240"/>
              <w:spacing w:after="0" w:line="124" w:lineRule="exact"/>
              <w:rPr>
                <w:sz w:val="20"/>
                <w:szCs w:val="20"/>
                <w:color w:val="auto"/>
              </w:rPr>
            </w:pPr>
            <w:r>
              <w:rPr>
                <w:rFonts w:ascii="Arial" w:cs="Arial" w:eastAsia="Arial" w:hAnsi="Arial"/>
                <w:sz w:val="11"/>
                <w:szCs w:val="11"/>
                <w:b w:val="1"/>
                <w:bCs w:val="1"/>
                <w:color w:val="auto"/>
              </w:rPr>
              <w:t>(Month/Day/Year)</w:t>
            </w:r>
          </w:p>
        </w:tc>
        <w:tc>
          <w:tcPr>
            <w:tcW w:w="12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Underlying</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960" w:type="dxa"/>
            <w:vAlign w:val="bottom"/>
          </w:tcPr>
          <w:p>
            <w:pPr>
              <w:spacing w:after="0"/>
              <w:rPr>
                <w:sz w:val="10"/>
                <w:szCs w:val="10"/>
                <w:color w:val="auto"/>
              </w:rPr>
            </w:pP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(Instr. 3, 4 and 5)</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tcPr>
          <w:p>
            <w:pPr>
              <w:ind w:left="24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700" w:type="dxa"/>
            <w:vAlign w:val="bottom"/>
          </w:tcPr>
          <w:p>
            <w:pPr>
              <w:jc w:val="right"/>
              <w:spacing w:after="0" w:line="124" w:lineRule="exact"/>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80" w:type="dxa"/>
            <w:vAlign w:val="bottom"/>
            <w:gridSpan w:val="2"/>
          </w:tcPr>
          <w:p>
            <w:pPr>
              <w:ind w:left="20"/>
              <w:spacing w:after="0"/>
              <w:rPr>
                <w:sz w:val="20"/>
                <w:szCs w:val="20"/>
                <w:color w:val="auto"/>
              </w:rPr>
            </w:pPr>
            <w:r>
              <w:rPr>
                <w:rFonts w:ascii="Arial" w:cs="Arial" w:eastAsia="Arial" w:hAnsi="Arial"/>
                <w:sz w:val="11"/>
                <w:szCs w:val="11"/>
                <w:b w:val="1"/>
                <w:bCs w:val="1"/>
                <w:color w:val="auto"/>
              </w:rPr>
              <w:t>(D)</w:t>
            </w:r>
          </w:p>
        </w:tc>
        <w:tc>
          <w:tcPr>
            <w:tcW w:w="1580" w:type="dxa"/>
            <w:vAlign w:val="bottom"/>
            <w:gridSpan w:val="4"/>
          </w:tcPr>
          <w:p>
            <w:pPr>
              <w:ind w:left="240"/>
              <w:spacing w:after="0"/>
              <w:rPr>
                <w:sz w:val="20"/>
                <w:szCs w:val="20"/>
                <w:color w:val="auto"/>
              </w:rPr>
            </w:pPr>
            <w:r>
              <w:rPr>
                <w:rFonts w:ascii="Arial" w:cs="Arial" w:eastAsia="Arial" w:hAnsi="Arial"/>
                <w:sz w:val="11"/>
                <w:szCs w:val="11"/>
                <w:b w:val="1"/>
                <w:bCs w:val="1"/>
                <w:color w:val="auto"/>
              </w:rPr>
              <w:t>Exercisable  Date</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100" w:type="dxa"/>
            <w:vAlign w:val="bottom"/>
          </w:tcPr>
          <w:p>
            <w:pPr>
              <w:spacing w:after="0"/>
              <w:rPr>
                <w:sz w:val="13"/>
                <w:szCs w:val="13"/>
                <w:color w:val="auto"/>
              </w:rPr>
            </w:pPr>
          </w:p>
        </w:tc>
        <w:tc>
          <w:tcPr>
            <w:tcW w:w="640" w:type="dxa"/>
            <w:vAlign w:val="bottom"/>
            <w:gridSpan w:val="3"/>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Share Units</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color w:val="0000FF"/>
              </w:rPr>
              <w:t>10,490</w:t>
            </w:r>
            <w:r>
              <w:rPr>
                <w:rFonts w:ascii="Times New Roman" w:cs="Times New Roman" w:eastAsia="Times New Roman" w:hAnsi="Times New Roman"/>
                <w:sz w:val="20"/>
                <w:szCs w:val="20"/>
                <w:color w:val="008000"/>
                <w:vertAlign w:val="superscript"/>
              </w:rPr>
              <w:t>(1)</w:t>
            </w:r>
          </w:p>
        </w:tc>
        <w:tc>
          <w:tcPr>
            <w:tcW w:w="340" w:type="dxa"/>
            <w:vAlign w:val="bottom"/>
            <w:vMerge w:val="restart"/>
          </w:tcPr>
          <w:p>
            <w:pPr>
              <w:jc w:val="right"/>
              <w:ind w:right="67"/>
              <w:spacing w:after="0"/>
              <w:rPr>
                <w:sz w:val="20"/>
                <w:szCs w:val="20"/>
                <w:color w:val="auto"/>
              </w:rPr>
            </w:pPr>
            <w:r>
              <w:rPr>
                <w:rFonts w:ascii="Times New Roman" w:cs="Times New Roman" w:eastAsia="Times New Roman" w:hAnsi="Times New Roman"/>
                <w:sz w:val="10"/>
                <w:szCs w:val="10"/>
                <w:color w:val="008000"/>
              </w:rPr>
              <w:t>(4)</w:t>
            </w:r>
          </w:p>
        </w:tc>
        <w:tc>
          <w:tcPr>
            <w:tcW w:w="860" w:type="dxa"/>
            <w:vAlign w:val="bottom"/>
            <w:gridSpan w:val="2"/>
            <w:vMerge w:val="restart"/>
          </w:tcPr>
          <w:p>
            <w:pPr>
              <w:jc w:val="right"/>
              <w:ind w:right="204"/>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10,490</w:t>
            </w:r>
          </w:p>
        </w:tc>
        <w:tc>
          <w:tcPr>
            <w:tcW w:w="40" w:type="dxa"/>
            <w:vAlign w:val="bottom"/>
          </w:tcPr>
          <w:p>
            <w:pPr>
              <w:spacing w:after="0"/>
              <w:rPr>
                <w:sz w:val="11"/>
                <w:szCs w:val="11"/>
                <w:color w:val="auto"/>
              </w:rPr>
            </w:pPr>
          </w:p>
        </w:tc>
        <w:tc>
          <w:tcPr>
            <w:tcW w:w="680" w:type="dxa"/>
            <w:vAlign w:val="bottom"/>
            <w:vMerge w:val="restart"/>
          </w:tcPr>
          <w:p>
            <w:pPr>
              <w:ind w:left="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0"/>
                <w:szCs w:val="20"/>
                <w:color w:val="008000"/>
                <w:vertAlign w:val="superscript"/>
              </w:rPr>
              <w:t>(2)</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gridSpan w:val="4"/>
          </w:tcPr>
          <w:p>
            <w:pPr>
              <w:ind w:left="80"/>
              <w:spacing w:after="0" w:line="137" w:lineRule="exact"/>
              <w:rPr>
                <w:sz w:val="20"/>
                <w:szCs w:val="20"/>
                <w:color w:val="auto"/>
              </w:rPr>
            </w:pPr>
            <w:r>
              <w:rPr>
                <w:rFonts w:ascii="Times New Roman" w:cs="Times New Roman" w:eastAsia="Times New Roman" w:hAnsi="Times New Roman"/>
                <w:sz w:val="12"/>
                <w:szCs w:val="12"/>
                <w:color w:val="0000FF"/>
              </w:rPr>
              <w:t>5/01/2024</w:t>
            </w:r>
          </w:p>
        </w:tc>
        <w:tc>
          <w:tcPr>
            <w:tcW w:w="5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05/01/2026</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3"/>
          </w:tcPr>
          <w:p>
            <w:pPr>
              <w:ind w:left="40"/>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20" w:type="dxa"/>
            <w:vAlign w:val="bottom"/>
            <w:gridSpan w:val="2"/>
          </w:tcPr>
          <w:p>
            <w:pPr>
              <w:ind w:left="220"/>
              <w:spacing w:after="0" w:line="137" w:lineRule="exact"/>
              <w:rPr>
                <w:sz w:val="20"/>
                <w:szCs w:val="20"/>
                <w:color w:val="auto"/>
              </w:rPr>
            </w:pPr>
            <w:r>
              <w:rPr>
                <w:rFonts w:ascii="Times New Roman" w:cs="Times New Roman" w:eastAsia="Times New Roman" w:hAnsi="Times New Roman"/>
                <w:sz w:val="12"/>
                <w:szCs w:val="12"/>
                <w:color w:val="0000FF"/>
              </w:rPr>
              <w:t>13,988</w:t>
            </w:r>
          </w:p>
        </w:tc>
        <w:tc>
          <w:tcPr>
            <w:tcW w:w="6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(w/Dividends</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180"/>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reinvested)</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Share Units</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color w:val="0000FF"/>
              </w:rPr>
              <w:t>11,122</w:t>
            </w:r>
            <w:r>
              <w:rPr>
                <w:rFonts w:ascii="Times New Roman" w:cs="Times New Roman" w:eastAsia="Times New Roman" w:hAnsi="Times New Roman"/>
                <w:sz w:val="20"/>
                <w:szCs w:val="20"/>
                <w:color w:val="008000"/>
                <w:vertAlign w:val="superscript"/>
              </w:rPr>
              <w:t>(1)</w:t>
            </w:r>
          </w:p>
        </w:tc>
        <w:tc>
          <w:tcPr>
            <w:tcW w:w="340" w:type="dxa"/>
            <w:vAlign w:val="bottom"/>
            <w:vMerge w:val="restart"/>
          </w:tcPr>
          <w:p>
            <w:pPr>
              <w:jc w:val="right"/>
              <w:ind w:right="67"/>
              <w:spacing w:after="0"/>
              <w:rPr>
                <w:sz w:val="20"/>
                <w:szCs w:val="20"/>
                <w:color w:val="auto"/>
              </w:rPr>
            </w:pPr>
            <w:r>
              <w:rPr>
                <w:rFonts w:ascii="Times New Roman" w:cs="Times New Roman" w:eastAsia="Times New Roman" w:hAnsi="Times New Roman"/>
                <w:sz w:val="10"/>
                <w:szCs w:val="10"/>
                <w:color w:val="008000"/>
              </w:rPr>
              <w:t>(4)</w:t>
            </w:r>
          </w:p>
        </w:tc>
        <w:tc>
          <w:tcPr>
            <w:tcW w:w="860" w:type="dxa"/>
            <w:vAlign w:val="bottom"/>
            <w:gridSpan w:val="2"/>
            <w:vMerge w:val="restart"/>
          </w:tcPr>
          <w:p>
            <w:pPr>
              <w:jc w:val="right"/>
              <w:ind w:right="204"/>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11,122</w:t>
            </w:r>
          </w:p>
        </w:tc>
        <w:tc>
          <w:tcPr>
            <w:tcW w:w="40" w:type="dxa"/>
            <w:vAlign w:val="bottom"/>
          </w:tcPr>
          <w:p>
            <w:pPr>
              <w:spacing w:after="0"/>
              <w:rPr>
                <w:sz w:val="11"/>
                <w:szCs w:val="11"/>
                <w:color w:val="auto"/>
              </w:rPr>
            </w:pPr>
          </w:p>
        </w:tc>
        <w:tc>
          <w:tcPr>
            <w:tcW w:w="680" w:type="dxa"/>
            <w:vAlign w:val="bottom"/>
            <w:vMerge w:val="restart"/>
          </w:tcPr>
          <w:p>
            <w:pPr>
              <w:ind w:left="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0"/>
                <w:szCs w:val="20"/>
                <w:color w:val="008000"/>
                <w:vertAlign w:val="superscript"/>
              </w:rPr>
              <w:t>(2)</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gridSpan w:val="4"/>
          </w:tcPr>
          <w:p>
            <w:pPr>
              <w:ind w:left="80"/>
              <w:spacing w:after="0" w:line="137" w:lineRule="exact"/>
              <w:rPr>
                <w:sz w:val="20"/>
                <w:szCs w:val="20"/>
                <w:color w:val="auto"/>
              </w:rPr>
            </w:pPr>
            <w:r>
              <w:rPr>
                <w:rFonts w:ascii="Times New Roman" w:cs="Times New Roman" w:eastAsia="Times New Roman" w:hAnsi="Times New Roman"/>
                <w:sz w:val="12"/>
                <w:szCs w:val="12"/>
                <w:color w:val="0000FF"/>
              </w:rPr>
              <w:t>5/01/2025</w:t>
            </w:r>
          </w:p>
        </w:tc>
        <w:tc>
          <w:tcPr>
            <w:tcW w:w="5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05/01/2026</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3"/>
          </w:tcPr>
          <w:p>
            <w:pPr>
              <w:ind w:left="40"/>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20" w:type="dxa"/>
            <w:vAlign w:val="bottom"/>
            <w:gridSpan w:val="2"/>
          </w:tcPr>
          <w:p>
            <w:pPr>
              <w:ind w:left="220"/>
              <w:spacing w:after="0" w:line="137" w:lineRule="exact"/>
              <w:rPr>
                <w:sz w:val="20"/>
                <w:szCs w:val="20"/>
                <w:color w:val="auto"/>
              </w:rPr>
            </w:pPr>
            <w:r>
              <w:rPr>
                <w:rFonts w:ascii="Times New Roman" w:cs="Times New Roman" w:eastAsia="Times New Roman" w:hAnsi="Times New Roman"/>
                <w:sz w:val="12"/>
                <w:szCs w:val="12"/>
                <w:color w:val="0000FF"/>
              </w:rPr>
              <w:t>25,953</w:t>
            </w:r>
          </w:p>
        </w:tc>
        <w:tc>
          <w:tcPr>
            <w:tcW w:w="6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(w/dividends</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180"/>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reinvested)</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Share Units</w:t>
            </w: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vMerge w:val="restart"/>
          </w:tcPr>
          <w:p>
            <w:pPr>
              <w:jc w:val="right"/>
              <w:ind w:right="67"/>
              <w:spacing w:after="0"/>
              <w:rPr>
                <w:sz w:val="20"/>
                <w:szCs w:val="20"/>
                <w:color w:val="auto"/>
              </w:rPr>
            </w:pPr>
            <w:r>
              <w:rPr>
                <w:rFonts w:ascii="Times New Roman" w:cs="Times New Roman" w:eastAsia="Times New Roman" w:hAnsi="Times New Roman"/>
                <w:sz w:val="10"/>
                <w:szCs w:val="10"/>
                <w:color w:val="008000"/>
              </w:rPr>
              <w:t>(4)</w:t>
            </w:r>
          </w:p>
        </w:tc>
        <w:tc>
          <w:tcPr>
            <w:tcW w:w="860" w:type="dxa"/>
            <w:vAlign w:val="bottom"/>
            <w:gridSpan w:val="2"/>
            <w:vMerge w:val="restart"/>
          </w:tcPr>
          <w:p>
            <w:pPr>
              <w:jc w:val="right"/>
              <w:ind w:right="204"/>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49,145</w:t>
            </w:r>
          </w:p>
        </w:tc>
        <w:tc>
          <w:tcPr>
            <w:tcW w:w="40" w:type="dxa"/>
            <w:vAlign w:val="bottom"/>
          </w:tcPr>
          <w:p>
            <w:pPr>
              <w:spacing w:after="0"/>
              <w:rPr>
                <w:sz w:val="11"/>
                <w:szCs w:val="11"/>
                <w:color w:val="auto"/>
              </w:rPr>
            </w:pPr>
          </w:p>
        </w:tc>
        <w:tc>
          <w:tcPr>
            <w:tcW w:w="680" w:type="dxa"/>
            <w:vAlign w:val="bottom"/>
            <w:vMerge w:val="restart"/>
          </w:tcPr>
          <w:p>
            <w:pPr>
              <w:ind w:left="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0"/>
                <w:szCs w:val="20"/>
                <w:color w:val="008000"/>
                <w:vertAlign w:val="superscript"/>
              </w:rPr>
              <w:t>(2)</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gridSpan w:val="4"/>
          </w:tcPr>
          <w:p>
            <w:pPr>
              <w:ind w:left="80"/>
              <w:spacing w:after="0" w:line="137" w:lineRule="exact"/>
              <w:rPr>
                <w:sz w:val="20"/>
                <w:szCs w:val="20"/>
                <w:color w:val="auto"/>
              </w:rPr>
            </w:pPr>
            <w:r>
              <w:rPr>
                <w:rFonts w:ascii="Times New Roman" w:cs="Times New Roman" w:eastAsia="Times New Roman" w:hAnsi="Times New Roman"/>
                <w:sz w:val="12"/>
                <w:szCs w:val="12"/>
                <w:color w:val="0000FF"/>
              </w:rPr>
              <w:t>5/1/2026</w:t>
            </w:r>
          </w:p>
        </w:tc>
        <w:tc>
          <w:tcPr>
            <w:tcW w:w="5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05/01/2026</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3"/>
          </w:tcPr>
          <w:p>
            <w:pPr>
              <w:ind w:left="4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160" w:type="dxa"/>
            <w:vAlign w:val="bottom"/>
          </w:tcPr>
          <w:p>
            <w:pPr>
              <w:spacing w:after="0"/>
              <w:rPr>
                <w:sz w:val="11"/>
                <w:szCs w:val="11"/>
                <w:color w:val="auto"/>
              </w:rPr>
            </w:pPr>
          </w:p>
        </w:tc>
        <w:tc>
          <w:tcPr>
            <w:tcW w:w="540" w:type="dxa"/>
            <w:vAlign w:val="bottom"/>
          </w:tcPr>
          <w:p>
            <w:pPr>
              <w:ind w:left="80"/>
              <w:spacing w:after="0" w:line="137" w:lineRule="exact"/>
              <w:rPr>
                <w:sz w:val="20"/>
                <w:szCs w:val="20"/>
                <w:color w:val="auto"/>
              </w:rPr>
            </w:pPr>
            <w:r>
              <w:rPr>
                <w:rFonts w:ascii="Times New Roman" w:cs="Times New Roman" w:eastAsia="Times New Roman" w:hAnsi="Times New Roman"/>
                <w:sz w:val="12"/>
                <w:szCs w:val="12"/>
                <w:color w:val="0000FF"/>
              </w:rPr>
              <w:t>49,145</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20" w:type="dxa"/>
            <w:vAlign w:val="bottom"/>
            <w:gridSpan w:val="2"/>
          </w:tcPr>
          <w:p>
            <w:pPr>
              <w:ind w:left="220"/>
              <w:spacing w:after="0" w:line="137" w:lineRule="exact"/>
              <w:rPr>
                <w:sz w:val="20"/>
                <w:szCs w:val="20"/>
                <w:color w:val="auto"/>
              </w:rPr>
            </w:pPr>
            <w:r>
              <w:rPr>
                <w:rFonts w:ascii="Times New Roman" w:cs="Times New Roman" w:eastAsia="Times New Roman" w:hAnsi="Times New Roman"/>
                <w:sz w:val="12"/>
                <w:szCs w:val="12"/>
                <w:color w:val="0000FF"/>
              </w:rPr>
              <w:t>49,145</w:t>
            </w:r>
          </w:p>
        </w:tc>
        <w:tc>
          <w:tcPr>
            <w:tcW w:w="62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(w/dividends</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ind w:left="180"/>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reinvested)</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restricted share units that have vested and are paid out in shares of common stock. Includes restricted share units which were accrued based on dividends paid on the Corporation's common stock.</w:t>
      </w:r>
    </w:p>
    <w:p>
      <w:pPr>
        <w:spacing w:after="0" w:line="47" w:lineRule="exact"/>
        <w:rPr>
          <w:rFonts w:ascii="Times New Roman" w:cs="Times New Roman" w:eastAsia="Times New Roman" w:hAnsi="Times New Roman"/>
          <w:sz w:val="12"/>
          <w:szCs w:val="12"/>
          <w:color w:val="008000"/>
        </w:rPr>
      </w:pPr>
    </w:p>
    <w:p>
      <w:pPr>
        <w:ind w:left="40" w:right="360" w:hanging="4"/>
        <w:spacing w:after="0" w:line="276"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Restricted share units payable on a 1-for-1 basis, granted under the Kimberly-Clark Corporation Equity Participation Plan. Additional restricted share units are accrued based on dividends paid on the Corporation's common stock.</w:t>
      </w:r>
    </w:p>
    <w:p>
      <w:pPr>
        <w:spacing w:after="0" w:line="4"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transaction represents the automatic surrender of shares to the issuer upon vesting of restricted shares units to satisfy the reporting person's tax withholding obligations.</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restricted share units vest 30 percent on each of the first and second anniversaries of the grant date and the remaining 40 percent on the third anniversary of the grant date.</w:t>
      </w:r>
    </w:p>
    <w:p>
      <w:pPr>
        <w:ind w:left="6600"/>
        <w:spacing w:after="0" w:line="188" w:lineRule="auto"/>
        <w:rPr>
          <w:sz w:val="20"/>
          <w:szCs w:val="20"/>
          <w:color w:val="auto"/>
        </w:rPr>
      </w:pPr>
      <w:r>
        <w:rPr>
          <w:rFonts w:ascii="Times New Roman" w:cs="Times New Roman" w:eastAsia="Times New Roman" w:hAnsi="Times New Roman"/>
          <w:sz w:val="16"/>
          <w:szCs w:val="16"/>
          <w:color w:val="0000FF"/>
        </w:rPr>
        <w:t xml:space="preserve">/s/ Jeffrey S. McFall as attorney- </w:t>
      </w:r>
      <w:r>
        <w:rPr>
          <w:rFonts w:ascii="Times New Roman" w:cs="Times New Roman" w:eastAsia="Times New Roman" w:hAnsi="Times New Roman"/>
          <w:sz w:val="32"/>
          <w:szCs w:val="32"/>
          <w:color w:val="0000FF"/>
          <w:vertAlign w:val="subscript"/>
        </w:rPr>
        <w:t>05/04/2026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3921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21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 for Michael D. Hsu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0883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88390" cy="7620"/>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-80010</wp:posOffset>
            </wp:positionV>
            <wp:extent cx="46609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6090" cy="7620"/>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0" w:right="3900" w:hanging="4"/>
        <w:spacing w:after="0" w:line="323"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88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54339" TargetMode="External"/><Relationship Id="rId14" Type="http://schemas.openxmlformats.org/officeDocument/2006/relationships/hyperlink" Target="http://www.sec.gov/cgi-bin/browse-edgar?action=getcompany&amp;CIK=00000557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2026-05-04T15:10:37Z</dcterms:created>
  <dcterms:modified xsi:type="dcterms:W3CDTF">2026-05-04T15:10:37Z</dcterms:modified>
</cp:coreProperties>
</file>