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UNITED STATES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SECURITIES AND EXCHANGE COMMISSION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Washington, D.C. 20549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2723515</wp:posOffset>
            </wp:positionH>
            <wp:positionV relativeFrom="paragraph">
              <wp:posOffset>267970</wp:posOffset>
            </wp:positionV>
            <wp:extent cx="180975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CURRENT REPORT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Date of Report: April 29, 2010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(Date of earliest event reported)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KIMBERLY-CLARK CORPORATION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060"/>
          </w:cols>
          <w:pgMar w:left="240" w:top="244" w:right="599" w:bottom="1440" w:gutter="0" w:footer="0" w:header="0"/>
        </w:sectPr>
      </w:pP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Delaware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1-225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39-0394230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940" w:space="720"/>
            <w:col w:w="1140" w:space="720"/>
            <w:col w:w="3540"/>
          </w:cols>
          <w:pgMar w:left="240" w:top="244" w:right="59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left="2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(State or other jurisdiction</w:t>
      </w:r>
    </w:p>
    <w:p>
      <w:pPr>
        <w:jc w:val="center"/>
        <w:ind w:left="2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(Commission File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2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(IRS Employer</w:t>
      </w:r>
    </w:p>
    <w:p>
      <w:pPr>
        <w:jc w:val="center"/>
        <w:ind w:right="2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00" w:space="440"/>
            <w:col w:w="1540" w:space="600"/>
            <w:col w:w="3780"/>
          </w:cols>
          <w:pgMar w:left="240" w:top="244" w:right="59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P.O. Box 619100, Dallas, Texas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75261-9100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(Zip Code)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440" w:space="720"/>
            <w:col w:w="3900"/>
          </w:cols>
          <w:pgMar w:left="240" w:top="244" w:right="599" w:bottom="1440" w:gutter="0" w:footer="0" w:header="0"/>
          <w:type w:val="continuous"/>
        </w:sect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(972) 281-1200</w:t>
      </w:r>
    </w:p>
    <w:p>
      <w:pPr>
        <w:sectPr>
          <w:pgSz w:w="11900" w:h="16838" w:orient="portrait"/>
          <w:cols w:equalWidth="0" w:num="1">
            <w:col w:w="11060"/>
          </w:cols>
          <w:pgMar w:left="240" w:top="244" w:right="59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(Registrant’s telephone number, including area code)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2723515</wp:posOffset>
            </wp:positionH>
            <wp:positionV relativeFrom="paragraph">
              <wp:posOffset>263525</wp:posOffset>
            </wp:positionV>
            <wp:extent cx="180975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420" w:hanging="171"/>
        <w:spacing w:after="0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]   Written communications pursuant to Rule 425 under the Securities Act (17 CFR 230.425)</w:t>
      </w:r>
    </w:p>
    <w:p>
      <w:pPr>
        <w:ind w:left="420" w:hanging="171"/>
        <w:spacing w:after="0" w:line="225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]   Soliciting material pursuant to Rule 14a-12 under the Exchange Act (17 CFR 240.14a-12)</w:t>
      </w:r>
    </w:p>
    <w:p>
      <w:pPr>
        <w:ind w:left="420" w:hanging="171"/>
        <w:spacing w:after="0" w:line="225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]   Pre-commencement communications pursuant to Rule 14d-2(b) under the Exchange Act (17 CFR 240.14d-2(b))</w:t>
      </w:r>
    </w:p>
    <w:p>
      <w:pPr>
        <w:ind w:left="420" w:hanging="171"/>
        <w:spacing w:after="0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]  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2723515</wp:posOffset>
            </wp:positionH>
            <wp:positionV relativeFrom="paragraph">
              <wp:posOffset>267970</wp:posOffset>
            </wp:positionV>
            <wp:extent cx="180975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694690</wp:posOffset>
            </wp:positionV>
            <wp:extent cx="72504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60"/>
          </w:cols>
          <w:pgMar w:left="240" w:top="244" w:right="5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Item 5.07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Submission of Matters to a Vote of Security Holders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20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The 2010 Annual Meeting of Stockholders of Kimberly-Clark Corporation (the “Company”) was held on Thursday, April 29, 2010, at the Four Seasons Resort and Club, 4150 North MacArthur Boulevard, Irving, Texas.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The final results of voting on each of the matters submitted to a vote of security holders at the 2010 Annual Meeting are as follows: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 w:hanging="283"/>
        <w:spacing w:after="0" w:line="236" w:lineRule="auto"/>
        <w:tabs>
          <w:tab w:leader="none" w:pos="340" w:val="left"/>
        </w:tabs>
        <w:numPr>
          <w:ilvl w:val="0"/>
          <w:numId w:val="2"/>
        </w:numPr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Stockholders elected each of the Company’s 12 nominees for director to serve for a term to expire at the 2011 Annual Meeting of Stockholders and until their successors have been duly elected and qualified, as set forth below.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tbl>
      <w:tblPr>
        <w:tblLayout w:type="fixed"/>
        <w:tblInd w:w="1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7"/>
              </w:rPr>
              <w:t>Votes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Votes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Broker</w:t>
            </w:r>
          </w:p>
        </w:tc>
      </w:tr>
      <w:tr>
        <w:trPr>
          <w:trHeight w:val="227"/>
        </w:trPr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ind w:left="9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Name</w:t>
            </w: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1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For</w:t>
            </w: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1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Against</w:t>
            </w: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Abstentions</w:t>
            </w: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7"/>
              </w:rPr>
              <w:t>Non-Votes</w:t>
            </w:r>
          </w:p>
        </w:tc>
      </w:tr>
      <w:tr>
        <w:trPr>
          <w:trHeight w:val="212"/>
        </w:trPr>
        <w:tc>
          <w:tcPr>
            <w:tcW w:w="2280" w:type="dxa"/>
            <w:vAlign w:val="bottom"/>
          </w:tcPr>
          <w:p>
            <w:pPr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John R. Alm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21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301,944,808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21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1,139,622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636,065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55,006,540</w:t>
            </w:r>
          </w:p>
        </w:tc>
      </w:tr>
      <w:tr>
        <w:trPr>
          <w:trHeight w:val="216"/>
        </w:trPr>
        <w:tc>
          <w:tcPr>
            <w:tcW w:w="22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Dennis R. Beresford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288,395,367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14,710,680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614,448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55,006,540</w:t>
            </w:r>
          </w:p>
        </w:tc>
      </w:tr>
      <w:tr>
        <w:trPr>
          <w:trHeight w:val="216"/>
        </w:trPr>
        <w:tc>
          <w:tcPr>
            <w:tcW w:w="22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John F. Bergstrom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295,642,706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7,374,019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703,770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55,006,540</w:t>
            </w:r>
          </w:p>
        </w:tc>
      </w:tr>
      <w:tr>
        <w:trPr>
          <w:trHeight w:val="216"/>
        </w:trPr>
        <w:tc>
          <w:tcPr>
            <w:tcW w:w="22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Abelardo E. Bru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298,233,510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4,855,263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631,722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55,006,540</w:t>
            </w:r>
          </w:p>
        </w:tc>
      </w:tr>
      <w:tr>
        <w:trPr>
          <w:trHeight w:val="216"/>
        </w:trPr>
        <w:tc>
          <w:tcPr>
            <w:tcW w:w="22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Robert W. Decherd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294,963,485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8,127,065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629,945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55,006,540</w:t>
            </w:r>
          </w:p>
        </w:tc>
      </w:tr>
      <w:tr>
        <w:trPr>
          <w:trHeight w:val="216"/>
        </w:trPr>
        <w:tc>
          <w:tcPr>
            <w:tcW w:w="22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Thomas J. Falk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294,595,062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8,488,626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636,807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55,006,540</w:t>
            </w:r>
          </w:p>
        </w:tc>
      </w:tr>
      <w:tr>
        <w:trPr>
          <w:trHeight w:val="216"/>
        </w:trPr>
        <w:tc>
          <w:tcPr>
            <w:tcW w:w="22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Mae C. Jemison, M.D.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299,663,291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3,451,017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606,187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55,006,540</w:t>
            </w:r>
          </w:p>
        </w:tc>
      </w:tr>
      <w:tr>
        <w:trPr>
          <w:trHeight w:val="216"/>
        </w:trPr>
        <w:tc>
          <w:tcPr>
            <w:tcW w:w="22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James M. Jenness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299,838,841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3,265,838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615,816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55,006,540</w:t>
            </w:r>
          </w:p>
        </w:tc>
      </w:tr>
      <w:tr>
        <w:trPr>
          <w:trHeight w:val="216"/>
        </w:trPr>
        <w:tc>
          <w:tcPr>
            <w:tcW w:w="22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Ian C. Read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300,337,121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2,780,471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602,903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55,006,540</w:t>
            </w:r>
          </w:p>
        </w:tc>
      </w:tr>
      <w:tr>
        <w:trPr>
          <w:trHeight w:val="216"/>
        </w:trPr>
        <w:tc>
          <w:tcPr>
            <w:tcW w:w="22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Linda Johnson Rice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296,583,938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6,546,851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589,706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55,006,540</w:t>
            </w:r>
          </w:p>
        </w:tc>
      </w:tr>
      <w:tr>
        <w:trPr>
          <w:trHeight w:val="216"/>
        </w:trPr>
        <w:tc>
          <w:tcPr>
            <w:tcW w:w="22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Marc J. Shapiro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301,337,103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1,754,645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628,746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55,006,540</w:t>
            </w:r>
          </w:p>
        </w:tc>
      </w:tr>
      <w:tr>
        <w:trPr>
          <w:trHeight w:val="237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G. Craig Sullivan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301,822,478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1,302,839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595,177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55,006,540</w:t>
            </w:r>
          </w:p>
        </w:tc>
      </w:tr>
    </w:tbl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340" w:hanging="283"/>
        <w:spacing w:after="0" w:line="236" w:lineRule="auto"/>
        <w:tabs>
          <w:tab w:leader="none" w:pos="340" w:val="left"/>
        </w:tabs>
        <w:numPr>
          <w:ilvl w:val="0"/>
          <w:numId w:val="3"/>
        </w:numPr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Stockholders ratified the selection of Deloitte &amp; Touche LLP as the Company’s independent registered public accounting firm to audit the Company’s financial statements for 2010, as set forth below.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tbl>
      <w:tblPr>
        <w:tblLayout w:type="fixed"/>
        <w:tblInd w:w="1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7"/>
              </w:rPr>
              <w:t>Votes</w:t>
            </w:r>
          </w:p>
        </w:tc>
        <w:tc>
          <w:tcPr>
            <w:tcW w:w="1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7"/>
              </w:rPr>
              <w:t>Votes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Broker</w:t>
            </w:r>
          </w:p>
        </w:tc>
      </w:tr>
      <w:tr>
        <w:trPr>
          <w:trHeight w:val="227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For</w:t>
            </w: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Against</w:t>
            </w: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Abstentions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7"/>
              </w:rPr>
              <w:t>Non-Votes</w:t>
            </w:r>
          </w:p>
        </w:tc>
      </w:tr>
      <w:tr>
        <w:trPr>
          <w:trHeight w:val="237"/>
        </w:trPr>
        <w:tc>
          <w:tcPr>
            <w:tcW w:w="2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353,239,260</w:t>
            </w:r>
          </w:p>
        </w:tc>
        <w:tc>
          <w:tcPr>
            <w:tcW w:w="1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4,486,448</w:t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ind w:righ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1,001,327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89"/>
              </w:rPr>
              <w:t>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3. Stockholders did not approve a stockholder proposal regarding special shareholder meetings, as set forth below.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7"/>
              </w:rPr>
              <w:t>Votes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7"/>
              </w:rPr>
              <w:t>Votes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Broker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7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For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Against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Abstentions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7"/>
              </w:rPr>
              <w:t>Non-Votes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7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135,745,063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165,797,744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2,177,688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7"/>
              </w:rPr>
              <w:t>55,006,540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070"/>
        </w:trPr>
        <w:tc>
          <w:tcPr>
            <w:tcW w:w="1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720" w:right="239" w:bottom="1440" w:gutter="0" w:footer="0" w:header="0"/>
        </w:sectPr>
      </w:pPr>
    </w:p>
    <w:bookmarkStart w:id="2" w:name="page3"/>
    <w:bookmarkEnd w:id="2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SIGNATURE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ind w:left="1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KIMBERLY-CLARK CORPORATION</w:t>
            </w:r>
          </w:p>
        </w:tc>
      </w:tr>
      <w:tr>
        <w:trPr>
          <w:trHeight w:val="820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Date: April 30, 2010</w:t>
            </w:r>
          </w:p>
        </w:tc>
        <w:tc>
          <w:tcPr>
            <w:tcW w:w="4940" w:type="dxa"/>
            <w:vAlign w:val="bottom"/>
            <w:gridSpan w:val="2"/>
          </w:tcPr>
          <w:p>
            <w:pPr>
              <w:ind w:left="1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By: /s/: John W. Wesley</w:t>
            </w:r>
          </w:p>
        </w:tc>
      </w:tr>
      <w:tr>
        <w:trPr>
          <w:trHeight w:val="20"/>
        </w:trPr>
        <w:tc>
          <w:tcPr>
            <w:tcW w:w="3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ind w:left="16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John W. Wesley</w:t>
            </w:r>
          </w:p>
        </w:tc>
      </w:tr>
      <w:tr>
        <w:trPr>
          <w:trHeight w:val="237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ind w:left="1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Vice President and Secretary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380"/>
      </w:cols>
      <w:pgMar w:left="240" w:top="744" w:right="2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2019-12-10T01:09:47Z</dcterms:created>
  <dcterms:modified xsi:type="dcterms:W3CDTF">2019-12-10T01:09:47Z</dcterms:modified>
</cp:coreProperties>
</file>